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1368F9">
        <w:rPr>
          <w:color w:val="000000"/>
          <w:sz w:val="28"/>
          <w:szCs w:val="28"/>
          <w:u w:val="single"/>
        </w:rPr>
        <w:t>19</w:t>
      </w:r>
      <w:r w:rsidR="003A3D27" w:rsidRPr="0001152D">
        <w:rPr>
          <w:color w:val="000000"/>
          <w:sz w:val="28"/>
          <w:szCs w:val="28"/>
          <w:u w:val="single"/>
        </w:rPr>
        <w:t xml:space="preserve"> </w:t>
      </w:r>
      <w:r w:rsidR="001368F9">
        <w:rPr>
          <w:color w:val="000000"/>
          <w:sz w:val="28"/>
          <w:szCs w:val="28"/>
          <w:u w:val="single"/>
        </w:rPr>
        <w:t>июл</w:t>
      </w:r>
      <w:r w:rsidR="00CB7B70">
        <w:rPr>
          <w:color w:val="000000"/>
          <w:sz w:val="28"/>
          <w:szCs w:val="28"/>
          <w:u w:val="single"/>
        </w:rPr>
        <w:t>я</w:t>
      </w:r>
      <w:r w:rsidR="004950BC" w:rsidRPr="0001152D">
        <w:rPr>
          <w:color w:val="000000"/>
          <w:sz w:val="28"/>
          <w:szCs w:val="28"/>
          <w:u w:val="single"/>
        </w:rPr>
        <w:t xml:space="preserve"> 201</w:t>
      </w:r>
      <w:r w:rsidR="00875FAC">
        <w:rPr>
          <w:color w:val="000000"/>
          <w:sz w:val="28"/>
          <w:szCs w:val="28"/>
          <w:u w:val="single"/>
        </w:rPr>
        <w:t>8</w:t>
      </w:r>
      <w:r w:rsidR="003B21FD" w:rsidRPr="0001152D">
        <w:rPr>
          <w:color w:val="000000"/>
          <w:sz w:val="28"/>
          <w:szCs w:val="28"/>
          <w:u w:val="single"/>
        </w:rPr>
        <w:t xml:space="preserve"> г. № </w:t>
      </w:r>
      <w:r w:rsidR="001368F9">
        <w:rPr>
          <w:color w:val="000000"/>
          <w:sz w:val="28"/>
          <w:szCs w:val="28"/>
          <w:u w:val="single"/>
        </w:rPr>
        <w:t>70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368F9" w:rsidTr="001368F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68F9" w:rsidRDefault="001368F9" w:rsidP="001368F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750B99">
              <w:rPr>
                <w:b/>
                <w:color w:val="000000"/>
                <w:sz w:val="28"/>
                <w:szCs w:val="28"/>
              </w:rPr>
              <w:t>О внесении изменений в постановление администрации Пригородного сельского поселения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50B99">
              <w:rPr>
                <w:b/>
                <w:color w:val="000000"/>
                <w:sz w:val="28"/>
                <w:szCs w:val="28"/>
              </w:rPr>
              <w:t xml:space="preserve">от 18.12.2013 г. №180 </w:t>
            </w:r>
          </w:p>
        </w:tc>
      </w:tr>
    </w:tbl>
    <w:p w:rsidR="001368F9" w:rsidRDefault="001368F9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1A78B9" w:rsidRPr="00555B26" w:rsidRDefault="001A78B9" w:rsidP="00212359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4D2469" w:rsidRPr="00750B99">
        <w:rPr>
          <w:sz w:val="28"/>
          <w:szCs w:val="28"/>
        </w:rPr>
        <w:t>«Обеспечение доступного и комфортного проживания граждан, содействие эн</w:t>
      </w:r>
      <w:bookmarkStart w:id="1" w:name="_GoBack"/>
      <w:bookmarkEnd w:id="1"/>
      <w:r w:rsidR="004D2469" w:rsidRPr="00750B99">
        <w:rPr>
          <w:sz w:val="28"/>
          <w:szCs w:val="28"/>
        </w:rPr>
        <w:t xml:space="preserve">ергосбережению и повышению </w:t>
      </w:r>
      <w:proofErr w:type="spellStart"/>
      <w:r w:rsidR="004D2469" w:rsidRPr="00750B99">
        <w:rPr>
          <w:sz w:val="28"/>
          <w:szCs w:val="28"/>
        </w:rPr>
        <w:t>энергоэффективности</w:t>
      </w:r>
      <w:proofErr w:type="spellEnd"/>
      <w:r w:rsidR="004D2469"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4D2469" w:rsidRPr="00750B99">
        <w:rPr>
          <w:sz w:val="28"/>
          <w:szCs w:val="28"/>
        </w:rPr>
        <w:t>Калачеевского</w:t>
      </w:r>
      <w:proofErr w:type="spellEnd"/>
      <w:r w:rsidR="004D2469" w:rsidRPr="00750B99">
        <w:rPr>
          <w:sz w:val="28"/>
          <w:szCs w:val="28"/>
        </w:rPr>
        <w:t xml:space="preserve"> муниципального района на 2014 - 2020 годы»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 w:rsidR="001368F9">
        <w:rPr>
          <w:sz w:val="28"/>
          <w:szCs w:val="28"/>
        </w:rPr>
        <w:t xml:space="preserve">,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>игородного сельского поселения</w:t>
      </w:r>
      <w:r w:rsidR="00212359">
        <w:rPr>
          <w:sz w:val="28"/>
          <w:szCs w:val="28"/>
        </w:rPr>
        <w:t xml:space="preserve"> </w:t>
      </w:r>
      <w:r w:rsidR="001368F9">
        <w:rPr>
          <w:sz w:val="28"/>
          <w:szCs w:val="28"/>
        </w:rPr>
        <w:t xml:space="preserve">                            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BF54BB" w:rsidRPr="00750B99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 </w:t>
      </w:r>
      <w:r w:rsidR="00C61048">
        <w:rPr>
          <w:sz w:val="28"/>
          <w:szCs w:val="28"/>
        </w:rPr>
        <w:t>(</w:t>
      </w:r>
      <w:r w:rsidR="00E57810">
        <w:rPr>
          <w:sz w:val="28"/>
          <w:szCs w:val="28"/>
        </w:rPr>
        <w:t>в ред.</w:t>
      </w:r>
      <w:r w:rsidR="00C61048" w:rsidRPr="001839A0">
        <w:rPr>
          <w:sz w:val="28"/>
          <w:szCs w:val="28"/>
        </w:rPr>
        <w:t xml:space="preserve"> постановлений от 21.04.2014 №35, 31.12.2014 №126, 08.07.2015 №43, 23.11.2015 №98, 15.02.2016 №9, 20.02.2016 №21, 12.05.2016 №82, 29.08.2016 №141, </w:t>
      </w:r>
      <w:r w:rsidR="00C61048">
        <w:rPr>
          <w:sz w:val="28"/>
          <w:szCs w:val="28"/>
        </w:rPr>
        <w:t xml:space="preserve">30.12.2016 №178, </w:t>
      </w:r>
      <w:r w:rsidR="00C61048" w:rsidRPr="001839A0">
        <w:rPr>
          <w:sz w:val="28"/>
          <w:szCs w:val="28"/>
        </w:rPr>
        <w:t>30.12.2016 № 180, 17.04.2017 № 26, 21.04.2017 №29, 21.06.2017 №51</w:t>
      </w:r>
      <w:r w:rsidR="00C61048">
        <w:rPr>
          <w:sz w:val="28"/>
          <w:szCs w:val="28"/>
        </w:rPr>
        <w:t>, 04.07.2017 №56</w:t>
      </w:r>
      <w:r w:rsidR="00C37A0B">
        <w:rPr>
          <w:sz w:val="28"/>
          <w:szCs w:val="28"/>
        </w:rPr>
        <w:t>, 04.07.2017 №57</w:t>
      </w:r>
      <w:r w:rsidR="00823389">
        <w:rPr>
          <w:sz w:val="28"/>
          <w:szCs w:val="28"/>
        </w:rPr>
        <w:t>, 22.09.2017 №84</w:t>
      </w:r>
      <w:r w:rsidR="00875FAC">
        <w:rPr>
          <w:sz w:val="28"/>
          <w:szCs w:val="28"/>
        </w:rPr>
        <w:t>, 29.12.2017 №131, 08.02.2018 №15</w:t>
      </w:r>
      <w:r w:rsidR="00CB7B70">
        <w:rPr>
          <w:sz w:val="28"/>
          <w:szCs w:val="28"/>
        </w:rPr>
        <w:t>, 05.04.2018 №31</w:t>
      </w:r>
      <w:r w:rsidR="001368F9">
        <w:rPr>
          <w:sz w:val="28"/>
          <w:szCs w:val="28"/>
        </w:rPr>
        <w:t>, 28.06.2018 №49</w:t>
      </w:r>
      <w:r w:rsidR="00C61048">
        <w:rPr>
          <w:sz w:val="28"/>
          <w:szCs w:val="28"/>
        </w:rPr>
        <w:t xml:space="preserve">) </w:t>
      </w:r>
      <w:r w:rsidRPr="00750B99">
        <w:rPr>
          <w:sz w:val="28"/>
          <w:szCs w:val="28"/>
        </w:rPr>
        <w:t>следующие изменения:</w:t>
      </w:r>
    </w:p>
    <w:p w:rsidR="009B27F8" w:rsidRPr="00C743E6" w:rsidRDefault="00BF54BB" w:rsidP="001368F9">
      <w:pPr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lastRenderedPageBreak/>
        <w:t xml:space="preserve">1.1. </w:t>
      </w:r>
      <w:r w:rsidR="009B27F8" w:rsidRPr="00C743E6">
        <w:rPr>
          <w:bCs/>
          <w:kern w:val="2"/>
          <w:sz w:val="28"/>
          <w:szCs w:val="28"/>
        </w:rPr>
        <w:t xml:space="preserve">Абзац </w:t>
      </w:r>
      <w:r w:rsidR="009B27F8" w:rsidRPr="00C743E6">
        <w:rPr>
          <w:sz w:val="28"/>
          <w:szCs w:val="28"/>
        </w:rPr>
        <w:t xml:space="preserve">«Расходы местного бюджета Пригородного сельского поселения на реализацию мероприятий муниципальной программы, </w:t>
      </w:r>
      <w:proofErr w:type="spellStart"/>
      <w:r w:rsidR="009B27F8" w:rsidRPr="00C743E6">
        <w:rPr>
          <w:sz w:val="28"/>
          <w:szCs w:val="28"/>
        </w:rPr>
        <w:t>софинансирование</w:t>
      </w:r>
      <w:proofErr w:type="spellEnd"/>
      <w:r w:rsidR="009B27F8" w:rsidRPr="00C743E6">
        <w:rPr>
          <w:sz w:val="28"/>
          <w:szCs w:val="28"/>
        </w:rPr>
        <w:t xml:space="preserve"> которых планируется за счет субсидий из областного бюджета на 2018 год» основного мероприятия 3.2. Ремонт автомобильных дорог общего пользования местного значения и сооружений на них раздела 3. «Характеристика основных мероприятий подпрограммы Паспорта подпрограммы 3. «Осуществление дорожной деятельности в части содержания и ремонта автомобильных дорог местного значения в границах Пригородного сельского поселения </w:t>
      </w:r>
      <w:proofErr w:type="spellStart"/>
      <w:r w:rsidR="009B27F8" w:rsidRPr="00C743E6">
        <w:rPr>
          <w:sz w:val="28"/>
          <w:szCs w:val="28"/>
        </w:rPr>
        <w:t>Калачеевского</w:t>
      </w:r>
      <w:proofErr w:type="spellEnd"/>
      <w:r w:rsidR="009B27F8" w:rsidRPr="00C743E6">
        <w:rPr>
          <w:sz w:val="28"/>
          <w:szCs w:val="28"/>
        </w:rPr>
        <w:t xml:space="preserve"> муниципального района Воронежской области» изложить в следующей редакции:</w:t>
      </w:r>
    </w:p>
    <w:p w:rsidR="009B27F8" w:rsidRDefault="009B27F8" w:rsidP="009B27F8">
      <w:pPr>
        <w:tabs>
          <w:tab w:val="left" w:pos="0"/>
        </w:tabs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C743E6">
        <w:rPr>
          <w:sz w:val="28"/>
          <w:szCs w:val="28"/>
        </w:rPr>
        <w:t xml:space="preserve">«Расходы местного бюджета Пригородного сельского поселения на реализацию мероприятий муниципальной программы, </w:t>
      </w:r>
      <w:proofErr w:type="spellStart"/>
      <w:r w:rsidRPr="00C743E6">
        <w:rPr>
          <w:sz w:val="28"/>
          <w:szCs w:val="28"/>
        </w:rPr>
        <w:t>софинансирование</w:t>
      </w:r>
      <w:proofErr w:type="spellEnd"/>
      <w:r w:rsidRPr="00C743E6">
        <w:rPr>
          <w:sz w:val="28"/>
          <w:szCs w:val="28"/>
        </w:rPr>
        <w:t xml:space="preserve"> которых планируется за счет субсидий из областного бюджета на 2018 год</w:t>
      </w:r>
      <w:r w:rsidRPr="00C743E6">
        <w:rPr>
          <w:bCs/>
          <w:kern w:val="2"/>
          <w:sz w:val="28"/>
          <w:szCs w:val="28"/>
        </w:rPr>
        <w:t>:</w:t>
      </w:r>
    </w:p>
    <w:p w:rsidR="009B27F8" w:rsidRPr="008031D4" w:rsidRDefault="009B27F8" w:rsidP="009B27F8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56"/>
        <w:gridCol w:w="1581"/>
        <w:gridCol w:w="1718"/>
        <w:gridCol w:w="1524"/>
      </w:tblGrid>
      <w:tr w:rsidR="009B27F8" w:rsidRPr="008031D4" w:rsidTr="001368F9">
        <w:trPr>
          <w:trHeight w:val="150"/>
        </w:trPr>
        <w:tc>
          <w:tcPr>
            <w:tcW w:w="5456" w:type="dxa"/>
            <w:vMerge w:val="restart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23" w:type="dxa"/>
            <w:gridSpan w:val="3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Расходы, тыс. руб.</w:t>
            </w:r>
          </w:p>
        </w:tc>
      </w:tr>
      <w:tr w:rsidR="009B27F8" w:rsidRPr="008031D4" w:rsidTr="001368F9">
        <w:trPr>
          <w:trHeight w:val="150"/>
        </w:trPr>
        <w:tc>
          <w:tcPr>
            <w:tcW w:w="5456" w:type="dxa"/>
            <w:vMerge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Всего</w:t>
            </w:r>
          </w:p>
        </w:tc>
        <w:tc>
          <w:tcPr>
            <w:tcW w:w="1718" w:type="dxa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Областной бюджет (прогнозные данные)</w:t>
            </w:r>
          </w:p>
        </w:tc>
        <w:tc>
          <w:tcPr>
            <w:tcW w:w="1524" w:type="dxa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9B27F8" w:rsidRPr="008031D4" w:rsidTr="001368F9">
        <w:trPr>
          <w:trHeight w:val="150"/>
        </w:trPr>
        <w:tc>
          <w:tcPr>
            <w:tcW w:w="5456" w:type="dxa"/>
          </w:tcPr>
          <w:p w:rsidR="009B27F8" w:rsidRPr="00C743E6" w:rsidRDefault="009B27F8" w:rsidP="00B10FDF">
            <w:pPr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581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0</w:t>
            </w:r>
          </w:p>
        </w:tc>
      </w:tr>
      <w:tr w:rsidR="00CB7B70" w:rsidRPr="008031D4" w:rsidTr="001368F9">
        <w:trPr>
          <w:trHeight w:val="150"/>
        </w:trPr>
        <w:tc>
          <w:tcPr>
            <w:tcW w:w="5456" w:type="dxa"/>
          </w:tcPr>
          <w:p w:rsidR="00CB7B70" w:rsidRPr="00CB7B70" w:rsidRDefault="00CB7B70" w:rsidP="00CB7B70">
            <w:pPr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81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1084,851</w:t>
            </w:r>
          </w:p>
        </w:tc>
        <w:tc>
          <w:tcPr>
            <w:tcW w:w="1718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1041,400</w:t>
            </w:r>
          </w:p>
        </w:tc>
        <w:tc>
          <w:tcPr>
            <w:tcW w:w="1524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43,451</w:t>
            </w:r>
          </w:p>
        </w:tc>
      </w:tr>
      <w:tr w:rsidR="00CB7B70" w:rsidRPr="008031D4" w:rsidTr="001368F9">
        <w:trPr>
          <w:trHeight w:val="150"/>
        </w:trPr>
        <w:tc>
          <w:tcPr>
            <w:tcW w:w="5456" w:type="dxa"/>
          </w:tcPr>
          <w:p w:rsidR="00CB7B70" w:rsidRPr="00CB7B70" w:rsidRDefault="00CB7B70" w:rsidP="00CB7B70">
            <w:pPr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81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1004,797</w:t>
            </w:r>
          </w:p>
        </w:tc>
        <w:tc>
          <w:tcPr>
            <w:tcW w:w="1718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1000,000</w:t>
            </w:r>
          </w:p>
        </w:tc>
        <w:tc>
          <w:tcPr>
            <w:tcW w:w="1524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4,797</w:t>
            </w:r>
          </w:p>
        </w:tc>
      </w:tr>
      <w:tr w:rsidR="00CB7B70" w:rsidRPr="008031D4" w:rsidTr="001368F9">
        <w:trPr>
          <w:trHeight w:val="150"/>
        </w:trPr>
        <w:tc>
          <w:tcPr>
            <w:tcW w:w="5456" w:type="dxa"/>
          </w:tcPr>
          <w:p w:rsidR="00CB7B70" w:rsidRPr="00CB7B70" w:rsidRDefault="00CB7B70" w:rsidP="00CB7B70">
            <w:pPr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Дооборудование пешеходных переходов</w:t>
            </w:r>
          </w:p>
        </w:tc>
        <w:tc>
          <w:tcPr>
            <w:tcW w:w="1581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184,363</w:t>
            </w:r>
          </w:p>
        </w:tc>
        <w:tc>
          <w:tcPr>
            <w:tcW w:w="1718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184,100</w:t>
            </w:r>
          </w:p>
        </w:tc>
        <w:tc>
          <w:tcPr>
            <w:tcW w:w="1524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0,263</w:t>
            </w:r>
          </w:p>
        </w:tc>
      </w:tr>
      <w:tr w:rsidR="00CB7B70" w:rsidRPr="008031D4" w:rsidTr="001368F9">
        <w:trPr>
          <w:trHeight w:val="150"/>
        </w:trPr>
        <w:tc>
          <w:tcPr>
            <w:tcW w:w="5456" w:type="dxa"/>
          </w:tcPr>
          <w:p w:rsidR="00CB7B70" w:rsidRPr="00CB7B70" w:rsidRDefault="00CB7B70" w:rsidP="00CB7B70">
            <w:pPr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 xml:space="preserve">Ремонт автомобильной дороги общего пользования местного значения, проходящей вдоль улиц частной жилой застройки в п. Пригородном </w:t>
            </w:r>
          </w:p>
        </w:tc>
        <w:tc>
          <w:tcPr>
            <w:tcW w:w="1581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</w:p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1014,950</w:t>
            </w:r>
          </w:p>
        </w:tc>
        <w:tc>
          <w:tcPr>
            <w:tcW w:w="1718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</w:p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1000,000</w:t>
            </w:r>
          </w:p>
        </w:tc>
        <w:tc>
          <w:tcPr>
            <w:tcW w:w="1524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</w:p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14,950</w:t>
            </w:r>
          </w:p>
        </w:tc>
      </w:tr>
      <w:tr w:rsidR="001368F9" w:rsidRPr="008031D4" w:rsidTr="001368F9">
        <w:trPr>
          <w:trHeight w:val="150"/>
        </w:trPr>
        <w:tc>
          <w:tcPr>
            <w:tcW w:w="5456" w:type="dxa"/>
          </w:tcPr>
          <w:p w:rsidR="001368F9" w:rsidRPr="001368F9" w:rsidRDefault="001368F9" w:rsidP="001368F9">
            <w:pPr>
              <w:rPr>
                <w:sz w:val="28"/>
                <w:szCs w:val="28"/>
              </w:rPr>
            </w:pPr>
            <w:r w:rsidRPr="001368F9">
              <w:rPr>
                <w:sz w:val="28"/>
                <w:szCs w:val="28"/>
              </w:rPr>
              <w:t>Ремонт автомобильной дороги общего пользования местного значения, проходящей вдоль улиц частной жилой застройки в п. Пригородном протяженностью 770 м</w:t>
            </w:r>
          </w:p>
        </w:tc>
        <w:tc>
          <w:tcPr>
            <w:tcW w:w="1581" w:type="dxa"/>
          </w:tcPr>
          <w:p w:rsidR="001368F9" w:rsidRPr="001368F9" w:rsidRDefault="001368F9" w:rsidP="001368F9">
            <w:pPr>
              <w:jc w:val="center"/>
              <w:rPr>
                <w:sz w:val="28"/>
                <w:szCs w:val="28"/>
              </w:rPr>
            </w:pPr>
            <w:r w:rsidRPr="001368F9">
              <w:rPr>
                <w:sz w:val="28"/>
                <w:szCs w:val="28"/>
              </w:rPr>
              <w:t>1070,564</w:t>
            </w:r>
          </w:p>
        </w:tc>
        <w:tc>
          <w:tcPr>
            <w:tcW w:w="1718" w:type="dxa"/>
          </w:tcPr>
          <w:p w:rsidR="001368F9" w:rsidRPr="001368F9" w:rsidRDefault="001368F9" w:rsidP="001368F9">
            <w:pPr>
              <w:jc w:val="center"/>
              <w:rPr>
                <w:sz w:val="28"/>
                <w:szCs w:val="28"/>
              </w:rPr>
            </w:pPr>
            <w:r w:rsidRPr="001368F9">
              <w:rPr>
                <w:sz w:val="28"/>
                <w:szCs w:val="28"/>
              </w:rPr>
              <w:t>999,600</w:t>
            </w:r>
          </w:p>
        </w:tc>
        <w:tc>
          <w:tcPr>
            <w:tcW w:w="1524" w:type="dxa"/>
          </w:tcPr>
          <w:p w:rsidR="001368F9" w:rsidRPr="001368F9" w:rsidRDefault="001368F9" w:rsidP="001368F9">
            <w:pPr>
              <w:jc w:val="center"/>
              <w:rPr>
                <w:sz w:val="28"/>
                <w:szCs w:val="28"/>
              </w:rPr>
            </w:pPr>
            <w:r w:rsidRPr="001368F9">
              <w:rPr>
                <w:sz w:val="28"/>
                <w:szCs w:val="28"/>
              </w:rPr>
              <w:t>70,964</w:t>
            </w:r>
          </w:p>
        </w:tc>
      </w:tr>
      <w:tr w:rsidR="001368F9" w:rsidRPr="008031D4" w:rsidTr="001368F9">
        <w:trPr>
          <w:trHeight w:val="150"/>
        </w:trPr>
        <w:tc>
          <w:tcPr>
            <w:tcW w:w="5456" w:type="dxa"/>
          </w:tcPr>
          <w:p w:rsidR="001368F9" w:rsidRPr="001368F9" w:rsidRDefault="001368F9" w:rsidP="001368F9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368F9" w:rsidRPr="001368F9" w:rsidRDefault="001368F9" w:rsidP="001368F9">
            <w:pPr>
              <w:jc w:val="center"/>
              <w:rPr>
                <w:sz w:val="28"/>
                <w:szCs w:val="28"/>
              </w:rPr>
            </w:pPr>
            <w:r w:rsidRPr="001368F9">
              <w:rPr>
                <w:sz w:val="28"/>
                <w:szCs w:val="28"/>
              </w:rPr>
              <w:t>4359,525</w:t>
            </w:r>
          </w:p>
        </w:tc>
        <w:tc>
          <w:tcPr>
            <w:tcW w:w="1718" w:type="dxa"/>
          </w:tcPr>
          <w:p w:rsidR="001368F9" w:rsidRPr="001368F9" w:rsidRDefault="001368F9" w:rsidP="001368F9">
            <w:pPr>
              <w:jc w:val="center"/>
              <w:rPr>
                <w:sz w:val="28"/>
                <w:szCs w:val="28"/>
              </w:rPr>
            </w:pPr>
            <w:r w:rsidRPr="001368F9">
              <w:rPr>
                <w:sz w:val="28"/>
                <w:szCs w:val="28"/>
              </w:rPr>
              <w:t>4225,100</w:t>
            </w:r>
          </w:p>
        </w:tc>
        <w:tc>
          <w:tcPr>
            <w:tcW w:w="1524" w:type="dxa"/>
          </w:tcPr>
          <w:p w:rsidR="001368F9" w:rsidRPr="001368F9" w:rsidRDefault="001368F9" w:rsidP="001368F9">
            <w:pPr>
              <w:jc w:val="center"/>
              <w:rPr>
                <w:sz w:val="28"/>
                <w:szCs w:val="28"/>
              </w:rPr>
            </w:pPr>
            <w:r w:rsidRPr="001368F9">
              <w:rPr>
                <w:sz w:val="28"/>
                <w:szCs w:val="28"/>
              </w:rPr>
              <w:t>134,425</w:t>
            </w:r>
          </w:p>
        </w:tc>
      </w:tr>
    </w:tbl>
    <w:p w:rsidR="009B27F8" w:rsidRPr="008031D4" w:rsidRDefault="009B27F8" w:rsidP="009B27F8">
      <w:pPr>
        <w:rPr>
          <w:sz w:val="28"/>
          <w:szCs w:val="28"/>
        </w:rPr>
      </w:pPr>
      <w:r w:rsidRPr="008031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4FAB" w:rsidRPr="00750B99" w:rsidRDefault="007D4FAB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743E6">
        <w:rPr>
          <w:sz w:val="28"/>
          <w:szCs w:val="28"/>
          <w:lang w:eastAsia="ru-RU"/>
        </w:rPr>
        <w:t xml:space="preserve">2. </w:t>
      </w:r>
      <w:r w:rsidRPr="00C743E6">
        <w:rPr>
          <w:sz w:val="28"/>
          <w:szCs w:val="28"/>
        </w:rPr>
        <w:t>О</w:t>
      </w:r>
      <w:r w:rsidR="00544CF7" w:rsidRPr="00C743E6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</w:t>
      </w:r>
      <w:r w:rsidRPr="00750B99">
        <w:rPr>
          <w:sz w:val="28"/>
          <w:szCs w:val="28"/>
        </w:rPr>
        <w:lastRenderedPageBreak/>
        <w:t xml:space="preserve">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C743E6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FAB" w:rsidRPr="00750B9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="001368F9">
        <w:rPr>
          <w:b/>
          <w:bCs/>
          <w:sz w:val="28"/>
          <w:szCs w:val="28"/>
        </w:rPr>
        <w:t xml:space="preserve">    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sectPr w:rsidR="005D0D21" w:rsidSect="001368F9">
      <w:pgSz w:w="11906" w:h="16838"/>
      <w:pgMar w:top="1134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9F2"/>
    <w:rsid w:val="0001152D"/>
    <w:rsid w:val="0001727D"/>
    <w:rsid w:val="000215A4"/>
    <w:rsid w:val="000223CD"/>
    <w:rsid w:val="00023DFD"/>
    <w:rsid w:val="00027B20"/>
    <w:rsid w:val="00031411"/>
    <w:rsid w:val="00043599"/>
    <w:rsid w:val="00052904"/>
    <w:rsid w:val="000676C7"/>
    <w:rsid w:val="00067BAE"/>
    <w:rsid w:val="00086215"/>
    <w:rsid w:val="000974E6"/>
    <w:rsid w:val="00097AAE"/>
    <w:rsid w:val="000B2CF0"/>
    <w:rsid w:val="000B7606"/>
    <w:rsid w:val="000B7CB3"/>
    <w:rsid w:val="000E1C21"/>
    <w:rsid w:val="000E451B"/>
    <w:rsid w:val="001022D4"/>
    <w:rsid w:val="00111B8A"/>
    <w:rsid w:val="0012224F"/>
    <w:rsid w:val="001279F8"/>
    <w:rsid w:val="001368F9"/>
    <w:rsid w:val="00140385"/>
    <w:rsid w:val="00152F76"/>
    <w:rsid w:val="00181155"/>
    <w:rsid w:val="001829B8"/>
    <w:rsid w:val="00183474"/>
    <w:rsid w:val="00183B83"/>
    <w:rsid w:val="00190AD5"/>
    <w:rsid w:val="001A2AE9"/>
    <w:rsid w:val="001A78B9"/>
    <w:rsid w:val="001B1818"/>
    <w:rsid w:val="001B250F"/>
    <w:rsid w:val="001B5A6A"/>
    <w:rsid w:val="001B6A64"/>
    <w:rsid w:val="001C021B"/>
    <w:rsid w:val="001C0D72"/>
    <w:rsid w:val="001C7A6C"/>
    <w:rsid w:val="001D430D"/>
    <w:rsid w:val="001D43C4"/>
    <w:rsid w:val="001D4AB7"/>
    <w:rsid w:val="001E10F9"/>
    <w:rsid w:val="001E4970"/>
    <w:rsid w:val="001E69A2"/>
    <w:rsid w:val="001F2692"/>
    <w:rsid w:val="00202C0F"/>
    <w:rsid w:val="00212359"/>
    <w:rsid w:val="00221345"/>
    <w:rsid w:val="00232287"/>
    <w:rsid w:val="00241B5A"/>
    <w:rsid w:val="00243269"/>
    <w:rsid w:val="00245746"/>
    <w:rsid w:val="00260CF3"/>
    <w:rsid w:val="002646CF"/>
    <w:rsid w:val="0029306B"/>
    <w:rsid w:val="002A0D62"/>
    <w:rsid w:val="002B5E67"/>
    <w:rsid w:val="002B7484"/>
    <w:rsid w:val="002C122D"/>
    <w:rsid w:val="002C7BBE"/>
    <w:rsid w:val="002D106A"/>
    <w:rsid w:val="002D1FFE"/>
    <w:rsid w:val="002E12C1"/>
    <w:rsid w:val="003272E4"/>
    <w:rsid w:val="003527FB"/>
    <w:rsid w:val="00357BBA"/>
    <w:rsid w:val="003621C9"/>
    <w:rsid w:val="0037264F"/>
    <w:rsid w:val="00376981"/>
    <w:rsid w:val="003809D1"/>
    <w:rsid w:val="00380E1A"/>
    <w:rsid w:val="00382F85"/>
    <w:rsid w:val="003A14BE"/>
    <w:rsid w:val="003A3D27"/>
    <w:rsid w:val="003A686D"/>
    <w:rsid w:val="003B21FD"/>
    <w:rsid w:val="003C2267"/>
    <w:rsid w:val="003C43B0"/>
    <w:rsid w:val="003C7049"/>
    <w:rsid w:val="003D64A5"/>
    <w:rsid w:val="003E1DD0"/>
    <w:rsid w:val="003E732A"/>
    <w:rsid w:val="003F00E5"/>
    <w:rsid w:val="003F3E76"/>
    <w:rsid w:val="003F406B"/>
    <w:rsid w:val="00401FF5"/>
    <w:rsid w:val="00407741"/>
    <w:rsid w:val="00417820"/>
    <w:rsid w:val="0042620B"/>
    <w:rsid w:val="00431AFA"/>
    <w:rsid w:val="00436F6A"/>
    <w:rsid w:val="004445C4"/>
    <w:rsid w:val="00456F4F"/>
    <w:rsid w:val="00460D60"/>
    <w:rsid w:val="00464402"/>
    <w:rsid w:val="00483756"/>
    <w:rsid w:val="004950BC"/>
    <w:rsid w:val="00497E19"/>
    <w:rsid w:val="004D2469"/>
    <w:rsid w:val="004E19EC"/>
    <w:rsid w:val="004E2990"/>
    <w:rsid w:val="004F01AE"/>
    <w:rsid w:val="004F6E4E"/>
    <w:rsid w:val="005132DD"/>
    <w:rsid w:val="005153BC"/>
    <w:rsid w:val="00517BEE"/>
    <w:rsid w:val="00522E3C"/>
    <w:rsid w:val="00540854"/>
    <w:rsid w:val="00544CF7"/>
    <w:rsid w:val="0057659F"/>
    <w:rsid w:val="005A476C"/>
    <w:rsid w:val="005B471A"/>
    <w:rsid w:val="005D0D21"/>
    <w:rsid w:val="005D4CEB"/>
    <w:rsid w:val="005D4DB2"/>
    <w:rsid w:val="005E1630"/>
    <w:rsid w:val="005E2C2E"/>
    <w:rsid w:val="005E5C41"/>
    <w:rsid w:val="005F2BE9"/>
    <w:rsid w:val="0063136E"/>
    <w:rsid w:val="00634B0A"/>
    <w:rsid w:val="00666F42"/>
    <w:rsid w:val="00677317"/>
    <w:rsid w:val="00682795"/>
    <w:rsid w:val="00686F2D"/>
    <w:rsid w:val="006A26E7"/>
    <w:rsid w:val="006A6478"/>
    <w:rsid w:val="006A7DC5"/>
    <w:rsid w:val="006B2EE2"/>
    <w:rsid w:val="006B40B2"/>
    <w:rsid w:val="006B6EF9"/>
    <w:rsid w:val="006D5BDF"/>
    <w:rsid w:val="006D6A0A"/>
    <w:rsid w:val="006F6342"/>
    <w:rsid w:val="00702AB6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1C38"/>
    <w:rsid w:val="00762E75"/>
    <w:rsid w:val="0076391C"/>
    <w:rsid w:val="007725B8"/>
    <w:rsid w:val="00794FDA"/>
    <w:rsid w:val="007A2CD6"/>
    <w:rsid w:val="007D000D"/>
    <w:rsid w:val="007D01D8"/>
    <w:rsid w:val="007D4FAB"/>
    <w:rsid w:val="007D5160"/>
    <w:rsid w:val="0081030B"/>
    <w:rsid w:val="0081058D"/>
    <w:rsid w:val="00823389"/>
    <w:rsid w:val="008265CB"/>
    <w:rsid w:val="00850BFD"/>
    <w:rsid w:val="00852C05"/>
    <w:rsid w:val="00856A7C"/>
    <w:rsid w:val="00867E21"/>
    <w:rsid w:val="00872E1B"/>
    <w:rsid w:val="008745CB"/>
    <w:rsid w:val="00875FAC"/>
    <w:rsid w:val="00876FF8"/>
    <w:rsid w:val="00886D8B"/>
    <w:rsid w:val="0088756D"/>
    <w:rsid w:val="008A3038"/>
    <w:rsid w:val="008B69F5"/>
    <w:rsid w:val="008C409A"/>
    <w:rsid w:val="00900B39"/>
    <w:rsid w:val="00915A3C"/>
    <w:rsid w:val="009347D6"/>
    <w:rsid w:val="009417AB"/>
    <w:rsid w:val="0094680E"/>
    <w:rsid w:val="00947A5F"/>
    <w:rsid w:val="00951942"/>
    <w:rsid w:val="009658D6"/>
    <w:rsid w:val="009715D1"/>
    <w:rsid w:val="00972536"/>
    <w:rsid w:val="0097473C"/>
    <w:rsid w:val="00975299"/>
    <w:rsid w:val="00995B01"/>
    <w:rsid w:val="009A027A"/>
    <w:rsid w:val="009A4049"/>
    <w:rsid w:val="009A48A1"/>
    <w:rsid w:val="009B27F8"/>
    <w:rsid w:val="009C19BD"/>
    <w:rsid w:val="009C674D"/>
    <w:rsid w:val="009D2737"/>
    <w:rsid w:val="009F349C"/>
    <w:rsid w:val="009F53A8"/>
    <w:rsid w:val="00A11CFB"/>
    <w:rsid w:val="00A25AF7"/>
    <w:rsid w:val="00A26524"/>
    <w:rsid w:val="00A304E9"/>
    <w:rsid w:val="00A3155E"/>
    <w:rsid w:val="00A35D85"/>
    <w:rsid w:val="00A54F14"/>
    <w:rsid w:val="00A56ED0"/>
    <w:rsid w:val="00A6425B"/>
    <w:rsid w:val="00A70ED0"/>
    <w:rsid w:val="00A9117D"/>
    <w:rsid w:val="00AA0179"/>
    <w:rsid w:val="00AA6210"/>
    <w:rsid w:val="00AD27F8"/>
    <w:rsid w:val="00AD5561"/>
    <w:rsid w:val="00AD6DB0"/>
    <w:rsid w:val="00AE1C7B"/>
    <w:rsid w:val="00AE7384"/>
    <w:rsid w:val="00AF1549"/>
    <w:rsid w:val="00B10FDF"/>
    <w:rsid w:val="00B23320"/>
    <w:rsid w:val="00B24CB1"/>
    <w:rsid w:val="00B2523E"/>
    <w:rsid w:val="00B25E4B"/>
    <w:rsid w:val="00B32FA8"/>
    <w:rsid w:val="00B43CC1"/>
    <w:rsid w:val="00B519CC"/>
    <w:rsid w:val="00B5247A"/>
    <w:rsid w:val="00B651F0"/>
    <w:rsid w:val="00B72F8D"/>
    <w:rsid w:val="00B73794"/>
    <w:rsid w:val="00B77810"/>
    <w:rsid w:val="00B87FDC"/>
    <w:rsid w:val="00B91A41"/>
    <w:rsid w:val="00B93EBF"/>
    <w:rsid w:val="00B9678A"/>
    <w:rsid w:val="00B96AA2"/>
    <w:rsid w:val="00BB604B"/>
    <w:rsid w:val="00BB77D7"/>
    <w:rsid w:val="00BD54F4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3B41"/>
    <w:rsid w:val="00C37A0B"/>
    <w:rsid w:val="00C474F1"/>
    <w:rsid w:val="00C50243"/>
    <w:rsid w:val="00C51554"/>
    <w:rsid w:val="00C61048"/>
    <w:rsid w:val="00C64993"/>
    <w:rsid w:val="00C743E6"/>
    <w:rsid w:val="00C81DF1"/>
    <w:rsid w:val="00C828ED"/>
    <w:rsid w:val="00C8340E"/>
    <w:rsid w:val="00CB7B70"/>
    <w:rsid w:val="00CC6DE0"/>
    <w:rsid w:val="00CD0E15"/>
    <w:rsid w:val="00D02870"/>
    <w:rsid w:val="00D1366F"/>
    <w:rsid w:val="00D13B4A"/>
    <w:rsid w:val="00D17013"/>
    <w:rsid w:val="00D216A5"/>
    <w:rsid w:val="00D47E0D"/>
    <w:rsid w:val="00D60586"/>
    <w:rsid w:val="00D73955"/>
    <w:rsid w:val="00D759C7"/>
    <w:rsid w:val="00D84E5E"/>
    <w:rsid w:val="00D9010A"/>
    <w:rsid w:val="00D920E1"/>
    <w:rsid w:val="00DB2575"/>
    <w:rsid w:val="00DB5744"/>
    <w:rsid w:val="00DF1BF1"/>
    <w:rsid w:val="00E043E8"/>
    <w:rsid w:val="00E258E0"/>
    <w:rsid w:val="00E2638F"/>
    <w:rsid w:val="00E43BF4"/>
    <w:rsid w:val="00E57810"/>
    <w:rsid w:val="00E57829"/>
    <w:rsid w:val="00E7177D"/>
    <w:rsid w:val="00E71FFC"/>
    <w:rsid w:val="00E807DF"/>
    <w:rsid w:val="00EB1746"/>
    <w:rsid w:val="00EB6413"/>
    <w:rsid w:val="00EC241B"/>
    <w:rsid w:val="00EE54FD"/>
    <w:rsid w:val="00F323D6"/>
    <w:rsid w:val="00F40955"/>
    <w:rsid w:val="00F43EA8"/>
    <w:rsid w:val="00F81B4A"/>
    <w:rsid w:val="00F8659E"/>
    <w:rsid w:val="00F867AB"/>
    <w:rsid w:val="00F8700A"/>
    <w:rsid w:val="00F926CE"/>
    <w:rsid w:val="00F93207"/>
    <w:rsid w:val="00F95EED"/>
    <w:rsid w:val="00FB3A89"/>
    <w:rsid w:val="00FB4E7D"/>
    <w:rsid w:val="00FB782F"/>
    <w:rsid w:val="00FC3FA1"/>
    <w:rsid w:val="00FD27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4A92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4ABE-FA8C-4182-AFA8-AD766BB8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17</cp:revision>
  <cp:lastPrinted>2018-06-29T11:30:00Z</cp:lastPrinted>
  <dcterms:created xsi:type="dcterms:W3CDTF">2017-09-28T08:45:00Z</dcterms:created>
  <dcterms:modified xsi:type="dcterms:W3CDTF">2018-07-19T14:57:00Z</dcterms:modified>
</cp:coreProperties>
</file>