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22" w:rsidRDefault="00D61922" w:rsidP="00D61922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Пригородного сельского поселения </w:t>
      </w:r>
      <w:proofErr w:type="spellStart"/>
      <w:r>
        <w:rPr>
          <w:rFonts w:ascii="Times New Roman" w:hAnsi="Times New Roman"/>
        </w:rPr>
        <w:t>Калачеевского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 сообщает, 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16 </w:t>
      </w:r>
      <w:r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>нваря</w:t>
      </w:r>
      <w:r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года</w:t>
      </w:r>
      <w:r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</w:rPr>
        <w:t xml:space="preserve">в 10 часов по адресу: </w:t>
      </w:r>
      <w:proofErr w:type="spellStart"/>
      <w:r>
        <w:rPr>
          <w:rFonts w:ascii="Times New Roman" w:hAnsi="Times New Roman"/>
        </w:rPr>
        <w:t>Калачеевский</w:t>
      </w:r>
      <w:proofErr w:type="spellEnd"/>
      <w:r>
        <w:rPr>
          <w:rFonts w:ascii="Times New Roman" w:hAnsi="Times New Roman"/>
        </w:rPr>
        <w:t xml:space="preserve"> район, п. Пригородный, ул. Космонавтов, 22, к. 2 состоится аукцион по продаже в собственность муниципального имущества с закрытой формой подачи предложения о цене:</w:t>
      </w: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77"/>
        <w:gridCol w:w="1002"/>
        <w:gridCol w:w="1158"/>
        <w:gridCol w:w="1110"/>
        <w:gridCol w:w="2850"/>
      </w:tblGrid>
      <w:tr w:rsidR="00D61922" w:rsidTr="00AB22F3">
        <w:tc>
          <w:tcPr>
            <w:tcW w:w="720" w:type="dxa"/>
          </w:tcPr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/п,</w:t>
            </w:r>
          </w:p>
          <w:p w:rsidR="00D61922" w:rsidRDefault="00D61922" w:rsidP="00AB22F3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лота</w:t>
            </w:r>
          </w:p>
        </w:tc>
        <w:tc>
          <w:tcPr>
            <w:tcW w:w="3277" w:type="dxa"/>
          </w:tcPr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имущества </w:t>
            </w:r>
          </w:p>
        </w:tc>
        <w:tc>
          <w:tcPr>
            <w:tcW w:w="1002" w:type="dxa"/>
          </w:tcPr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bCs/>
              </w:rPr>
              <w:t>построй-</w:t>
            </w:r>
            <w:proofErr w:type="spellStart"/>
            <w:r>
              <w:rPr>
                <w:rFonts w:ascii="Times New Roman" w:hAnsi="Times New Roman"/>
                <w:bCs/>
              </w:rPr>
              <w:t>ки</w:t>
            </w:r>
            <w:proofErr w:type="spellEnd"/>
            <w:proofErr w:type="gramEnd"/>
          </w:p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</w:tcPr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Началь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</w:p>
          <w:p w:rsidR="00D61922" w:rsidRDefault="00D61922" w:rsidP="00AB22F3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цена (включая НДС), руб.</w:t>
            </w:r>
          </w:p>
        </w:tc>
        <w:tc>
          <w:tcPr>
            <w:tcW w:w="1110" w:type="dxa"/>
          </w:tcPr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задатка, руб.</w:t>
            </w:r>
          </w:p>
        </w:tc>
        <w:tc>
          <w:tcPr>
            <w:tcW w:w="2850" w:type="dxa"/>
          </w:tcPr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балансодержателя</w:t>
            </w:r>
          </w:p>
        </w:tc>
      </w:tr>
      <w:tr w:rsidR="00D61922" w:rsidTr="00AB22F3">
        <w:trPr>
          <w:trHeight w:val="1441"/>
        </w:trPr>
        <w:tc>
          <w:tcPr>
            <w:tcW w:w="720" w:type="dxa"/>
          </w:tcPr>
          <w:p w:rsidR="00D61922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7" w:type="dxa"/>
          </w:tcPr>
          <w:p w:rsidR="00D61922" w:rsidRPr="00716782" w:rsidRDefault="00D61922" w:rsidP="00AB22F3">
            <w:pPr>
              <w:tabs>
                <w:tab w:val="left" w:pos="0"/>
              </w:tabs>
              <w:snapToGrid w:val="0"/>
              <w:spacing w:after="120"/>
              <w:ind w:left="-3" w:right="-3" w:hanging="15"/>
              <w:rPr>
                <w:highlight w:val="yellow"/>
              </w:rPr>
            </w:pPr>
            <w:proofErr w:type="gramStart"/>
            <w:r w:rsidRPr="00BE2ECE">
              <w:t>Нежил</w:t>
            </w:r>
            <w:r>
              <w:t>ы</w:t>
            </w:r>
            <w:r w:rsidRPr="00BE2ECE">
              <w:t>е встроенн</w:t>
            </w:r>
            <w:r>
              <w:t>ые помещения</w:t>
            </w:r>
            <w:r w:rsidRPr="00BE2ECE">
              <w:t xml:space="preserve"> </w:t>
            </w:r>
            <w:r w:rsidRPr="00491298">
              <w:t>(лит.</w:t>
            </w:r>
            <w:proofErr w:type="gramEnd"/>
            <w:r w:rsidRPr="00491298">
              <w:t xml:space="preserve"> А) </w:t>
            </w:r>
            <w:r w:rsidRPr="00BE2ECE">
              <w:t xml:space="preserve">в многоквартирном жилом доме, общей площадью </w:t>
            </w:r>
            <w:r>
              <w:t>34,1</w:t>
            </w:r>
            <w:r w:rsidRPr="00BE2ECE">
              <w:t xml:space="preserve"> </w:t>
            </w:r>
            <w:proofErr w:type="spellStart"/>
            <w:r w:rsidRPr="00BE2ECE">
              <w:t>кв</w:t>
            </w:r>
            <w:r w:rsidRPr="00E753B1">
              <w:t>.м</w:t>
            </w:r>
            <w:proofErr w:type="spellEnd"/>
            <w:r w:rsidRPr="00E753B1">
              <w:t xml:space="preserve">. </w:t>
            </w:r>
            <w:r w:rsidRPr="00BE2ECE">
              <w:t xml:space="preserve">(1 этаж, номера на поэтажном плане </w:t>
            </w:r>
            <w:r w:rsidRPr="00E753B1">
              <w:t>35-37),</w:t>
            </w:r>
            <w:r w:rsidRPr="00BE2ECE">
              <w:t xml:space="preserve">  расположенные по адресу: Воронежская область, </w:t>
            </w:r>
            <w:proofErr w:type="spellStart"/>
            <w:r w:rsidRPr="00BE2ECE">
              <w:t>Калачеевский</w:t>
            </w:r>
            <w:proofErr w:type="spellEnd"/>
            <w:r w:rsidRPr="00BE2ECE">
              <w:t xml:space="preserve"> район, п. Пригородный, ул. Космонавтов, </w:t>
            </w:r>
            <w:r>
              <w:t>3</w:t>
            </w:r>
            <w:r w:rsidRPr="00BE2ECE">
              <w:t>2</w:t>
            </w:r>
          </w:p>
        </w:tc>
        <w:tc>
          <w:tcPr>
            <w:tcW w:w="1002" w:type="dxa"/>
          </w:tcPr>
          <w:p w:rsidR="00D61922" w:rsidRPr="00BE2ECE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</w:rPr>
            </w:pPr>
            <w:r w:rsidRPr="00BE2ECE">
              <w:rPr>
                <w:rFonts w:ascii="Times New Roman" w:hAnsi="Times New Roman"/>
              </w:rPr>
              <w:t>1982</w:t>
            </w:r>
          </w:p>
        </w:tc>
        <w:tc>
          <w:tcPr>
            <w:tcW w:w="1158" w:type="dxa"/>
          </w:tcPr>
          <w:p w:rsidR="00D61922" w:rsidRPr="00716782" w:rsidRDefault="00D1548E" w:rsidP="00AB22F3">
            <w:pPr>
              <w:pStyle w:val="1"/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</w:t>
            </w:r>
            <w:r w:rsidR="00D61922" w:rsidRPr="00BE2ECE">
              <w:rPr>
                <w:rFonts w:ascii="Times New Roman" w:hAnsi="Times New Roman"/>
              </w:rPr>
              <w:t>0000,00</w:t>
            </w:r>
          </w:p>
        </w:tc>
        <w:tc>
          <w:tcPr>
            <w:tcW w:w="1110" w:type="dxa"/>
          </w:tcPr>
          <w:p w:rsidR="00D61922" w:rsidRPr="00BE2ECE" w:rsidRDefault="00D1548E" w:rsidP="00AB22F3">
            <w:pPr>
              <w:pStyle w:val="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61922" w:rsidRPr="00BE2ECE">
              <w:rPr>
                <w:rFonts w:ascii="Times New Roman" w:hAnsi="Times New Roman"/>
              </w:rPr>
              <w:t>000,00</w:t>
            </w:r>
          </w:p>
        </w:tc>
        <w:tc>
          <w:tcPr>
            <w:tcW w:w="2850" w:type="dxa"/>
          </w:tcPr>
          <w:p w:rsidR="00D61922" w:rsidRPr="00BE2ECE" w:rsidRDefault="00D61922" w:rsidP="00AB22F3">
            <w:pPr>
              <w:pStyle w:val="1"/>
              <w:snapToGrid w:val="0"/>
              <w:jc w:val="center"/>
              <w:rPr>
                <w:rFonts w:ascii="Times New Roman" w:hAnsi="Times New Roman"/>
              </w:rPr>
            </w:pPr>
            <w:r w:rsidRPr="00BE2ECE">
              <w:rPr>
                <w:rFonts w:ascii="Times New Roman" w:hAnsi="Times New Roman"/>
              </w:rPr>
              <w:t xml:space="preserve">Администрация Пригородного сельского поселения </w:t>
            </w:r>
            <w:proofErr w:type="spellStart"/>
            <w:r w:rsidRPr="00BE2ECE">
              <w:rPr>
                <w:rFonts w:ascii="Times New Roman" w:hAnsi="Times New Roman"/>
              </w:rPr>
              <w:t>Калачеевского</w:t>
            </w:r>
            <w:proofErr w:type="spellEnd"/>
            <w:r w:rsidRPr="00BE2ECE">
              <w:rPr>
                <w:rFonts w:ascii="Times New Roman" w:hAnsi="Times New Roman"/>
              </w:rPr>
              <w:t xml:space="preserve"> муниципального района Ворон</w:t>
            </w:r>
            <w:bookmarkStart w:id="0" w:name="_GoBack"/>
            <w:bookmarkEnd w:id="0"/>
            <w:r w:rsidRPr="00BE2ECE">
              <w:rPr>
                <w:rFonts w:ascii="Times New Roman" w:hAnsi="Times New Roman"/>
              </w:rPr>
              <w:t>ежской области</w:t>
            </w:r>
          </w:p>
        </w:tc>
      </w:tr>
    </w:tbl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Аукцион проводится в соответствии с Положением об организации продажи государственного или муниципального имущества, утвержденным Постановлением Правительства РФ № 585 от 12 августа 2002г. (далее – положение). В соответствии со статьей 447 Гражданского кодекса РФ и статьей 18 Положения торги, в которых участвовал только один участник, признаются несостоявшимися. Участниками торгов могут быть любые лица, за исключением государственных и муниципальных предприятий и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своевременно подавшие заявку и представившие надлежащим образом оформленные документы.</w:t>
      </w:r>
    </w:p>
    <w:p w:rsidR="00D61922" w:rsidRDefault="00D61922" w:rsidP="00D61922">
      <w:pPr>
        <w:pStyle w:val="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участия в аукционе: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лица представляют следующие документы:</w:t>
      </w:r>
    </w:p>
    <w:p w:rsidR="00D61922" w:rsidRDefault="00D61922" w:rsidP="00D61922">
      <w:pPr>
        <w:pStyle w:val="1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нотариально заверенные копии учредительных документов;</w:t>
      </w:r>
    </w:p>
    <w:p w:rsidR="00D61922" w:rsidRDefault="00D61922" w:rsidP="00D61922">
      <w:pPr>
        <w:pStyle w:val="1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в письменной форме соответствующего органа управления о приобретении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61922" w:rsidRPr="000D394B" w:rsidRDefault="00D61922" w:rsidP="00D61922">
      <w:pPr>
        <w:numPr>
          <w:ilvl w:val="0"/>
          <w:numId w:val="2"/>
        </w:numPr>
        <w:suppressAutoHyphens w:val="0"/>
        <w:jc w:val="both"/>
      </w:pPr>
      <w:r w:rsidRPr="000D394B">
        <w:t>документы, содержащие сведения о доле Российской Федерации, субъектов Российской Федерации, и муниципальных образований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61922" w:rsidRPr="000D394B" w:rsidRDefault="00D61922" w:rsidP="00D61922">
      <w:pPr>
        <w:numPr>
          <w:ilvl w:val="0"/>
          <w:numId w:val="2"/>
        </w:numPr>
        <w:suppressAutoHyphens w:val="0"/>
        <w:jc w:val="both"/>
      </w:pPr>
      <w:r w:rsidRPr="000D394B"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t>дического лица без доверенности.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D61922" w:rsidRPr="000D394B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 w:rsidRPr="000D394B">
        <w:rPr>
          <w:rFonts w:ascii="Times New Roman" w:hAnsi="Times New Roman"/>
        </w:rPr>
        <w:t>В случае</w:t>
      </w:r>
      <w:proofErr w:type="gramStart"/>
      <w:r w:rsidRPr="000D394B">
        <w:rPr>
          <w:rFonts w:ascii="Times New Roman" w:hAnsi="Times New Roman"/>
        </w:rPr>
        <w:t>,</w:t>
      </w:r>
      <w:proofErr w:type="gramEnd"/>
      <w:r w:rsidRPr="000D394B">
        <w:rPr>
          <w:rFonts w:ascii="Times New Roman" w:hAnsi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(содержащая полномочия по подаче заявки, участию в аукционе, заключению договора купли-продажи и т. п.). В случае</w:t>
      </w:r>
      <w:proofErr w:type="gramStart"/>
      <w:r w:rsidRPr="000D394B">
        <w:rPr>
          <w:rFonts w:ascii="Times New Roman" w:hAnsi="Times New Roman"/>
        </w:rPr>
        <w:t>,</w:t>
      </w:r>
      <w:proofErr w:type="gramEnd"/>
      <w:r w:rsidRPr="000D394B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61922" w:rsidRDefault="00D61922" w:rsidP="00D61922">
      <w:pPr>
        <w:pStyle w:val="1"/>
        <w:tabs>
          <w:tab w:val="left" w:pos="121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61922" w:rsidRDefault="00D61922" w:rsidP="00D61922">
      <w:pPr>
        <w:pStyle w:val="1"/>
        <w:tabs>
          <w:tab w:val="left" w:pos="121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D61922" w:rsidRDefault="00D61922" w:rsidP="00D61922">
      <w:pPr>
        <w:pStyle w:val="1"/>
        <w:tabs>
          <w:tab w:val="left" w:pos="121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аукционе претендент вносит задаток в размере 10 процентов начальной цены, указанной в информационном сообщении. Размер задатка по каждому лоту указан в таблице.  Перечисление денежные средства в качестве задатка производится на расчетный счет </w:t>
      </w:r>
      <w:r w:rsidRPr="00725C06">
        <w:rPr>
          <w:rFonts w:ascii="Times New Roman" w:hAnsi="Times New Roman"/>
        </w:rPr>
        <w:t>40302810620073000050 УФК</w:t>
      </w:r>
      <w:r w:rsidRPr="00077913">
        <w:rPr>
          <w:rFonts w:ascii="Times New Roman" w:hAnsi="Times New Roman"/>
        </w:rPr>
        <w:t xml:space="preserve"> по Воронежской области (администрация Пригородного сельского поселения </w:t>
      </w:r>
      <w:proofErr w:type="spellStart"/>
      <w:r w:rsidRPr="00077913">
        <w:rPr>
          <w:rFonts w:ascii="Times New Roman" w:hAnsi="Times New Roman"/>
        </w:rPr>
        <w:t>Калачеевского</w:t>
      </w:r>
      <w:proofErr w:type="spellEnd"/>
      <w:r w:rsidRPr="00077913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Воронежской области</w:t>
      </w:r>
      <w:r w:rsidRPr="00077913">
        <w:rPr>
          <w:rFonts w:ascii="Times New Roman" w:hAnsi="Times New Roman"/>
        </w:rPr>
        <w:t xml:space="preserve">), БИК 042007001, ИНН 3610003311, КПП 361001001, ОКАТО 20215846000, </w:t>
      </w:r>
      <w:r w:rsidRPr="00725C06">
        <w:rPr>
          <w:rFonts w:ascii="Times New Roman" w:hAnsi="Times New Roman"/>
        </w:rPr>
        <w:t>КБК 91411402053100000410</w:t>
      </w:r>
      <w:r w:rsidRPr="00077913">
        <w:rPr>
          <w:rFonts w:ascii="Times New Roman" w:hAnsi="Times New Roman"/>
        </w:rPr>
        <w:t xml:space="preserve"> </w:t>
      </w:r>
      <w:r w:rsidRPr="00896A1A">
        <w:rPr>
          <w:rFonts w:ascii="Times New Roman" w:hAnsi="Times New Roman"/>
        </w:rPr>
        <w:t>(</w:t>
      </w:r>
      <w:r>
        <w:rPr>
          <w:rFonts w:ascii="Times New Roman" w:hAnsi="Times New Roman"/>
        </w:rPr>
        <w:t>задаток для участия в аукционе по продаже имущества).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Документом, подтверждающим поступление задатка на счет, указанный в данном информационном сообщении, является выписка с этого счета.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 не допускается к участию в аукционе по следующим основаниям: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заявка подана лицом, не уполномоченным претендентом на осуществление таких действий;</w:t>
      </w:r>
    </w:p>
    <w:p w:rsidR="00D61922" w:rsidRDefault="00D61922" w:rsidP="00D61922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подтверждено поступление в установленный срок задатка на счет, указанный в информационном сообщении.</w:t>
      </w:r>
    </w:p>
    <w:p w:rsidR="00D61922" w:rsidRDefault="00D61922" w:rsidP="00D61922">
      <w:pPr>
        <w:pStyle w:val="1"/>
        <w:ind w:firstLine="6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Заседание комиссии по признанию претендентов участниками аукциона состоится </w:t>
      </w:r>
      <w:r>
        <w:rPr>
          <w:rFonts w:ascii="Times New Roman" w:hAnsi="Times New Roman"/>
          <w:b/>
        </w:rPr>
        <w:t>2</w:t>
      </w:r>
      <w:r w:rsidR="00D1548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декабря</w:t>
      </w:r>
      <w:r>
        <w:rPr>
          <w:rFonts w:ascii="Times New Roman" w:hAnsi="Times New Roman"/>
          <w:b/>
          <w:bCs/>
        </w:rPr>
        <w:t xml:space="preserve"> 2014 г.</w:t>
      </w:r>
      <w:r>
        <w:rPr>
          <w:rFonts w:ascii="Times New Roman" w:hAnsi="Times New Roman"/>
        </w:rPr>
        <w:t xml:space="preserve"> по адресу: </w:t>
      </w:r>
      <w:proofErr w:type="spellStart"/>
      <w:r>
        <w:rPr>
          <w:rFonts w:ascii="Times New Roman" w:hAnsi="Times New Roman"/>
        </w:rPr>
        <w:t>Калачеевский</w:t>
      </w:r>
      <w:proofErr w:type="spellEnd"/>
      <w:r>
        <w:rPr>
          <w:rFonts w:ascii="Times New Roman" w:hAnsi="Times New Roman"/>
        </w:rPr>
        <w:t xml:space="preserve"> район, п. Пригородный, ул. Космонавтов, 22, к.2  в 09.30 час.</w:t>
      </w:r>
    </w:p>
    <w:p w:rsidR="00D61922" w:rsidRDefault="00D61922" w:rsidP="00D61922">
      <w:pPr>
        <w:pStyle w:val="1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Победителем аукциона признается участник, предложивший в ходе торгов наиболее высокую цену за объект торгов. Победителю выдается протокол итогов аукциона.</w:t>
      </w:r>
    </w:p>
    <w:p w:rsidR="00D61922" w:rsidRDefault="00D61922" w:rsidP="00D61922">
      <w:pPr>
        <w:pStyle w:val="1"/>
        <w:ind w:firstLine="6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15 дней </w:t>
      </w:r>
      <w:proofErr w:type="gramStart"/>
      <w:r>
        <w:rPr>
          <w:rFonts w:ascii="Times New Roman" w:hAnsi="Times New Roman"/>
        </w:rPr>
        <w:t>с даты  подведения</w:t>
      </w:r>
      <w:proofErr w:type="gramEnd"/>
      <w:r>
        <w:rPr>
          <w:rFonts w:ascii="Times New Roman" w:hAnsi="Times New Roman"/>
        </w:rPr>
        <w:t xml:space="preserve"> итогов аукциона с победителем заключается договор купли-продажи. </w:t>
      </w:r>
      <w:proofErr w:type="gramStart"/>
      <w:r>
        <w:rPr>
          <w:rFonts w:ascii="Times New Roman" w:hAnsi="Times New Roman"/>
        </w:rPr>
        <w:t xml:space="preserve">Оплата по договору купли-продажи должна быть произведена в течение 10 банковских дней после подписания договора в размере цены, установленной на аукционе в результате торгов, на расчетный счет </w:t>
      </w:r>
      <w:r w:rsidRPr="00725C06">
        <w:rPr>
          <w:rFonts w:ascii="Times New Roman" w:hAnsi="Times New Roman"/>
        </w:rPr>
        <w:t>40101810500000010004</w:t>
      </w:r>
      <w:r w:rsidRPr="00077913">
        <w:rPr>
          <w:rFonts w:ascii="Times New Roman" w:hAnsi="Times New Roman"/>
        </w:rPr>
        <w:t xml:space="preserve"> </w:t>
      </w:r>
      <w:r w:rsidRPr="00491298">
        <w:rPr>
          <w:rFonts w:ascii="Times New Roman" w:hAnsi="Times New Roman"/>
        </w:rPr>
        <w:t xml:space="preserve">УФК по Воронежской области (администрация Пригородного сельского поселения </w:t>
      </w:r>
      <w:proofErr w:type="spellStart"/>
      <w:r w:rsidRPr="00491298">
        <w:rPr>
          <w:rFonts w:ascii="Times New Roman" w:hAnsi="Times New Roman"/>
        </w:rPr>
        <w:t>Калачеевского</w:t>
      </w:r>
      <w:proofErr w:type="spellEnd"/>
      <w:r w:rsidRPr="00491298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Воронежской области</w:t>
      </w:r>
      <w:r w:rsidRPr="00491298">
        <w:rPr>
          <w:rFonts w:ascii="Times New Roman" w:hAnsi="Times New Roman"/>
        </w:rPr>
        <w:t>),</w:t>
      </w:r>
      <w:r w:rsidRPr="00077913">
        <w:rPr>
          <w:rFonts w:ascii="Times New Roman" w:hAnsi="Times New Roman"/>
        </w:rPr>
        <w:t xml:space="preserve"> БИК 042007001, ИНН 3610003311, КПП 361001001, ОКАТО 20215846000, КБК 91411402053100000410 </w:t>
      </w:r>
      <w:r w:rsidRPr="00896A1A">
        <w:rPr>
          <w:rFonts w:ascii="Times New Roman" w:hAnsi="Times New Roman"/>
        </w:rPr>
        <w:t>(</w:t>
      </w:r>
      <w:r>
        <w:rPr>
          <w:rFonts w:ascii="Times New Roman" w:hAnsi="Times New Roman"/>
        </w:rPr>
        <w:t>доходы</w:t>
      </w:r>
      <w:r w:rsidRPr="00896A1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реализации</w:t>
      </w:r>
      <w:r w:rsidRPr="00896A1A">
        <w:rPr>
          <w:rFonts w:ascii="Times New Roman" w:hAnsi="Times New Roman"/>
        </w:rPr>
        <w:t xml:space="preserve"> муниципальног</w:t>
      </w:r>
      <w:r>
        <w:rPr>
          <w:rFonts w:ascii="Times New Roman" w:hAnsi="Times New Roman"/>
        </w:rPr>
        <w:t>о имущества).</w:t>
      </w:r>
      <w:proofErr w:type="gramEnd"/>
    </w:p>
    <w:p w:rsidR="00D61922" w:rsidRPr="000D1EAC" w:rsidRDefault="00D61922" w:rsidP="00D61922">
      <w:pPr>
        <w:pStyle w:val="a3"/>
        <w:ind w:firstLine="709"/>
        <w:rPr>
          <w:sz w:val="20"/>
        </w:rPr>
      </w:pPr>
      <w:r w:rsidRPr="000D1EAC">
        <w:rPr>
          <w:sz w:val="20"/>
        </w:rPr>
        <w:t>Победитель аукциона,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РФ.</w:t>
      </w:r>
    </w:p>
    <w:p w:rsidR="00D61922" w:rsidRDefault="00D61922" w:rsidP="00D61922">
      <w:pPr>
        <w:pStyle w:val="1"/>
        <w:ind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уклонении или отказе от заключения договора купли-продажи в установленный срок задаток победителю не возвращается, и он утрачивает право на заключение договора купли-продажи. </w:t>
      </w:r>
    </w:p>
    <w:p w:rsidR="00D61922" w:rsidRDefault="00D61922" w:rsidP="00D61922">
      <w:pPr>
        <w:pStyle w:val="1"/>
        <w:ind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Лицам, перечислившим задаток для участия в аукционе, денежные средства возвращаются в следующем порядке:</w:t>
      </w:r>
    </w:p>
    <w:p w:rsidR="00D61922" w:rsidRDefault="00D61922" w:rsidP="00D61922">
      <w:pPr>
        <w:pStyle w:val="1"/>
        <w:ind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участникам аукциона, за исключением его победителя, в течение 5 календарных дней </w:t>
      </w:r>
      <w:proofErr w:type="gramStart"/>
      <w:r>
        <w:rPr>
          <w:rFonts w:ascii="Times New Roman" w:hAnsi="Times New Roman"/>
        </w:rPr>
        <w:t>с даты подведения</w:t>
      </w:r>
      <w:proofErr w:type="gramEnd"/>
      <w:r>
        <w:rPr>
          <w:rFonts w:ascii="Times New Roman" w:hAnsi="Times New Roman"/>
        </w:rPr>
        <w:t xml:space="preserve"> итогов аукциона;</w:t>
      </w:r>
    </w:p>
    <w:p w:rsidR="00D61922" w:rsidRDefault="00D61922" w:rsidP="00D61922">
      <w:pPr>
        <w:pStyle w:val="1"/>
        <w:ind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претендентам,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D61922" w:rsidRDefault="00D61922" w:rsidP="00D61922">
      <w:pPr>
        <w:pStyle w:val="1"/>
        <w:ind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только после полной оплаты имущества.</w:t>
      </w:r>
    </w:p>
    <w:p w:rsidR="00D61922" w:rsidRDefault="00D61922" w:rsidP="00D61922">
      <w:pPr>
        <w:pStyle w:val="1"/>
        <w:ind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Ознакомиться с правилами проведения торгов и полной информацией по продаваемым объектам можно в администрации Пригородного сельского поселения </w:t>
      </w:r>
      <w:proofErr w:type="spellStart"/>
      <w:r>
        <w:rPr>
          <w:rFonts w:ascii="Times New Roman" w:hAnsi="Times New Roman"/>
        </w:rPr>
        <w:t>Калачеевского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области.</w:t>
      </w:r>
    </w:p>
    <w:p w:rsidR="00D61922" w:rsidRDefault="00D61922" w:rsidP="00D61922">
      <w:pPr>
        <w:pStyle w:val="1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принимаются ежедневно с 8 до 12 и с 13 до 16 часов (кроме выходных) по адресу: </w:t>
      </w:r>
      <w:proofErr w:type="spellStart"/>
      <w:r>
        <w:rPr>
          <w:rFonts w:ascii="Times New Roman" w:hAnsi="Times New Roman"/>
        </w:rPr>
        <w:t>Калачеевский</w:t>
      </w:r>
      <w:proofErr w:type="spellEnd"/>
      <w:r>
        <w:rPr>
          <w:rFonts w:ascii="Times New Roman" w:hAnsi="Times New Roman"/>
        </w:rPr>
        <w:t xml:space="preserve"> район, п. Пригородный, ул. Космонавтов, 22. Последний день приема заявок </w:t>
      </w:r>
      <w:r>
        <w:rPr>
          <w:rFonts w:ascii="Times New Roman" w:hAnsi="Times New Roman"/>
          <w:b/>
        </w:rPr>
        <w:t>2</w:t>
      </w:r>
      <w:r w:rsidR="00D1548E">
        <w:rPr>
          <w:rFonts w:ascii="Times New Roman" w:hAnsi="Times New Roman"/>
          <w:b/>
        </w:rPr>
        <w:t>2</w:t>
      </w:r>
      <w:r w:rsidRPr="00E753B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декабря</w:t>
      </w:r>
      <w:r>
        <w:rPr>
          <w:rFonts w:ascii="Times New Roman" w:hAnsi="Times New Roman"/>
          <w:b/>
          <w:bCs/>
        </w:rPr>
        <w:t xml:space="preserve"> 2014 г.</w:t>
      </w:r>
      <w:r>
        <w:rPr>
          <w:rFonts w:ascii="Times New Roman" w:hAnsi="Times New Roman"/>
        </w:rPr>
        <w:t xml:space="preserve"> до 16 часов.</w:t>
      </w:r>
    </w:p>
    <w:p w:rsidR="00D61922" w:rsidRDefault="00D61922" w:rsidP="00D61922">
      <w:pPr>
        <w:pStyle w:val="1"/>
        <w:ind w:firstLine="6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 (47363)44-4-92.</w:t>
      </w:r>
    </w:p>
    <w:p w:rsidR="00D61922" w:rsidRDefault="00D61922" w:rsidP="00D61922">
      <w:pPr>
        <w:pStyle w:val="1"/>
        <w:jc w:val="both"/>
        <w:rPr>
          <w:rFonts w:ascii="Times New Roman" w:hAnsi="Times New Roman"/>
        </w:rPr>
      </w:pPr>
    </w:p>
    <w:p w:rsidR="00D61922" w:rsidRDefault="00D61922" w:rsidP="00D61922">
      <w:pPr>
        <w:pStyle w:val="1"/>
        <w:jc w:val="both"/>
        <w:rPr>
          <w:rFonts w:ascii="Times New Roman" w:hAnsi="Times New Roman"/>
        </w:rPr>
      </w:pPr>
    </w:p>
    <w:p w:rsidR="00D61922" w:rsidRDefault="00D61922" w:rsidP="00D61922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администрации Пригородного сельского поселения                                                                   И.М. Фальков</w:t>
      </w:r>
    </w:p>
    <w:p w:rsidR="00D61922" w:rsidRDefault="00D61922" w:rsidP="00D61922"/>
    <w:p w:rsidR="00D61922" w:rsidRDefault="00D61922" w:rsidP="00D61922"/>
    <w:p w:rsidR="00F81B4A" w:rsidRDefault="00F81B4A"/>
    <w:sectPr w:rsidR="00F81B4A">
      <w:pgSz w:w="11905" w:h="16837"/>
      <w:pgMar w:top="567" w:right="707" w:bottom="42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A0C8D"/>
    <w:multiLevelType w:val="hybridMultilevel"/>
    <w:tmpl w:val="D84C9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22"/>
    <w:rsid w:val="0001357A"/>
    <w:rsid w:val="000211DD"/>
    <w:rsid w:val="000215A4"/>
    <w:rsid w:val="0002515A"/>
    <w:rsid w:val="00027746"/>
    <w:rsid w:val="00033AE8"/>
    <w:rsid w:val="00047501"/>
    <w:rsid w:val="00097AAE"/>
    <w:rsid w:val="000A598B"/>
    <w:rsid w:val="000C5C4A"/>
    <w:rsid w:val="000E49F6"/>
    <w:rsid w:val="000F12EA"/>
    <w:rsid w:val="000F3448"/>
    <w:rsid w:val="0010277B"/>
    <w:rsid w:val="0011450D"/>
    <w:rsid w:val="00121D40"/>
    <w:rsid w:val="00130D1A"/>
    <w:rsid w:val="00150E99"/>
    <w:rsid w:val="00151E62"/>
    <w:rsid w:val="00164558"/>
    <w:rsid w:val="0017727F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46CF"/>
    <w:rsid w:val="00284D86"/>
    <w:rsid w:val="00294582"/>
    <w:rsid w:val="00296406"/>
    <w:rsid w:val="002A2F26"/>
    <w:rsid w:val="002B0A4A"/>
    <w:rsid w:val="002B7306"/>
    <w:rsid w:val="002C122D"/>
    <w:rsid w:val="002D1F1D"/>
    <w:rsid w:val="002D1FFE"/>
    <w:rsid w:val="002D5A6E"/>
    <w:rsid w:val="002F1049"/>
    <w:rsid w:val="002F5936"/>
    <w:rsid w:val="00336A8A"/>
    <w:rsid w:val="00346E0D"/>
    <w:rsid w:val="00347645"/>
    <w:rsid w:val="00363372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2306"/>
    <w:rsid w:val="00473EFE"/>
    <w:rsid w:val="00476411"/>
    <w:rsid w:val="004774EB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592"/>
    <w:rsid w:val="005346E9"/>
    <w:rsid w:val="00536368"/>
    <w:rsid w:val="00537575"/>
    <w:rsid w:val="00557F51"/>
    <w:rsid w:val="0057191C"/>
    <w:rsid w:val="00597D5C"/>
    <w:rsid w:val="005B36EA"/>
    <w:rsid w:val="005B7CAB"/>
    <w:rsid w:val="005D4DB2"/>
    <w:rsid w:val="005F2BE9"/>
    <w:rsid w:val="006072ED"/>
    <w:rsid w:val="006125F5"/>
    <w:rsid w:val="006163F8"/>
    <w:rsid w:val="006201A4"/>
    <w:rsid w:val="0062210F"/>
    <w:rsid w:val="00653FA1"/>
    <w:rsid w:val="00660E67"/>
    <w:rsid w:val="00667A2C"/>
    <w:rsid w:val="00683CEE"/>
    <w:rsid w:val="0068490B"/>
    <w:rsid w:val="006968CB"/>
    <w:rsid w:val="00697B4F"/>
    <w:rsid w:val="006B6EF9"/>
    <w:rsid w:val="006D24D3"/>
    <w:rsid w:val="006D43CA"/>
    <w:rsid w:val="006D4AC6"/>
    <w:rsid w:val="006E3BC4"/>
    <w:rsid w:val="006F53BA"/>
    <w:rsid w:val="006F6209"/>
    <w:rsid w:val="007159D2"/>
    <w:rsid w:val="0072345F"/>
    <w:rsid w:val="00723E52"/>
    <w:rsid w:val="00725D5B"/>
    <w:rsid w:val="007278D2"/>
    <w:rsid w:val="00727E97"/>
    <w:rsid w:val="007372EA"/>
    <w:rsid w:val="007401F2"/>
    <w:rsid w:val="00760BD0"/>
    <w:rsid w:val="00767E91"/>
    <w:rsid w:val="007725B8"/>
    <w:rsid w:val="00773CF6"/>
    <w:rsid w:val="00775244"/>
    <w:rsid w:val="007765A4"/>
    <w:rsid w:val="0078087F"/>
    <w:rsid w:val="00787A30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45CB"/>
    <w:rsid w:val="00880467"/>
    <w:rsid w:val="00885F7C"/>
    <w:rsid w:val="008A3038"/>
    <w:rsid w:val="008A4ED3"/>
    <w:rsid w:val="008B64F6"/>
    <w:rsid w:val="008C573E"/>
    <w:rsid w:val="008E7163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0690"/>
    <w:rsid w:val="009A3C73"/>
    <w:rsid w:val="009A765B"/>
    <w:rsid w:val="009B3563"/>
    <w:rsid w:val="009B7E72"/>
    <w:rsid w:val="009C4608"/>
    <w:rsid w:val="009C5579"/>
    <w:rsid w:val="009C7A3E"/>
    <w:rsid w:val="009F2330"/>
    <w:rsid w:val="009F53A8"/>
    <w:rsid w:val="00A156A9"/>
    <w:rsid w:val="00A25AF7"/>
    <w:rsid w:val="00A54F14"/>
    <w:rsid w:val="00A56111"/>
    <w:rsid w:val="00A77BEF"/>
    <w:rsid w:val="00AA0179"/>
    <w:rsid w:val="00AC45BD"/>
    <w:rsid w:val="00AC4C42"/>
    <w:rsid w:val="00AD0E8C"/>
    <w:rsid w:val="00AD6A70"/>
    <w:rsid w:val="00AF091B"/>
    <w:rsid w:val="00AF4870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8BE"/>
    <w:rsid w:val="00C2790B"/>
    <w:rsid w:val="00C474F1"/>
    <w:rsid w:val="00C5759F"/>
    <w:rsid w:val="00C828ED"/>
    <w:rsid w:val="00C928BB"/>
    <w:rsid w:val="00CC0A71"/>
    <w:rsid w:val="00CC4640"/>
    <w:rsid w:val="00CE1304"/>
    <w:rsid w:val="00CE2CAD"/>
    <w:rsid w:val="00CE507F"/>
    <w:rsid w:val="00CE6D53"/>
    <w:rsid w:val="00D02870"/>
    <w:rsid w:val="00D02C17"/>
    <w:rsid w:val="00D1548E"/>
    <w:rsid w:val="00D17013"/>
    <w:rsid w:val="00D20EE1"/>
    <w:rsid w:val="00D3622C"/>
    <w:rsid w:val="00D36262"/>
    <w:rsid w:val="00D40EF3"/>
    <w:rsid w:val="00D458A8"/>
    <w:rsid w:val="00D55A72"/>
    <w:rsid w:val="00D60839"/>
    <w:rsid w:val="00D61922"/>
    <w:rsid w:val="00D723E4"/>
    <w:rsid w:val="00D73955"/>
    <w:rsid w:val="00D75F88"/>
    <w:rsid w:val="00D815AE"/>
    <w:rsid w:val="00D83F81"/>
    <w:rsid w:val="00D85A3F"/>
    <w:rsid w:val="00D87412"/>
    <w:rsid w:val="00D9637B"/>
    <w:rsid w:val="00DC5DE9"/>
    <w:rsid w:val="00DD409C"/>
    <w:rsid w:val="00DF1BF1"/>
    <w:rsid w:val="00DF531F"/>
    <w:rsid w:val="00E103C2"/>
    <w:rsid w:val="00E308B9"/>
    <w:rsid w:val="00E3175B"/>
    <w:rsid w:val="00E440D6"/>
    <w:rsid w:val="00E93F19"/>
    <w:rsid w:val="00EA6E6E"/>
    <w:rsid w:val="00EB6F91"/>
    <w:rsid w:val="00EC3EA5"/>
    <w:rsid w:val="00ED06EA"/>
    <w:rsid w:val="00ED108B"/>
    <w:rsid w:val="00ED1E1A"/>
    <w:rsid w:val="00EE54FD"/>
    <w:rsid w:val="00F00F11"/>
    <w:rsid w:val="00F0200B"/>
    <w:rsid w:val="00F054F7"/>
    <w:rsid w:val="00F1505C"/>
    <w:rsid w:val="00F31FDA"/>
    <w:rsid w:val="00F43EA8"/>
    <w:rsid w:val="00F811EC"/>
    <w:rsid w:val="00F81B4A"/>
    <w:rsid w:val="00F84398"/>
    <w:rsid w:val="00F94ECF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61922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92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">
    <w:name w:val="Текст1"/>
    <w:basedOn w:val="a"/>
    <w:rsid w:val="00D61922"/>
    <w:rPr>
      <w:rFonts w:ascii="Courier New" w:hAnsi="Courier New"/>
    </w:rPr>
  </w:style>
  <w:style w:type="paragraph" w:styleId="a3">
    <w:name w:val="Body Text"/>
    <w:basedOn w:val="a"/>
    <w:link w:val="a4"/>
    <w:rsid w:val="00D61922"/>
    <w:pPr>
      <w:suppressAutoHyphens w:val="0"/>
      <w:jc w:val="both"/>
    </w:pPr>
    <w:rPr>
      <w:color w:val="auto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D6192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61922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92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">
    <w:name w:val="Текст1"/>
    <w:basedOn w:val="a"/>
    <w:rsid w:val="00D61922"/>
    <w:rPr>
      <w:rFonts w:ascii="Courier New" w:hAnsi="Courier New"/>
    </w:rPr>
  </w:style>
  <w:style w:type="paragraph" w:styleId="a3">
    <w:name w:val="Body Text"/>
    <w:basedOn w:val="a"/>
    <w:link w:val="a4"/>
    <w:rsid w:val="00D61922"/>
    <w:pPr>
      <w:suppressAutoHyphens w:val="0"/>
      <w:jc w:val="both"/>
    </w:pPr>
    <w:rPr>
      <w:color w:val="auto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D6192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cp:lastPrinted>2014-11-25T12:29:00Z</cp:lastPrinted>
  <dcterms:created xsi:type="dcterms:W3CDTF">2014-11-25T12:04:00Z</dcterms:created>
  <dcterms:modified xsi:type="dcterms:W3CDTF">2014-11-25T12:30:00Z</dcterms:modified>
</cp:coreProperties>
</file>